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20" w:lineRule="atLeast"/>
        <w:jc w:val="center"/>
        <w:rPr>
          <w:rFonts w:ascii="仿宋_GB2312" w:hAnsi="仿宋_GB2312" w:cs="仿宋"/>
          <w:b/>
          <w:bCs/>
          <w:color w:val="000000"/>
          <w:sz w:val="44"/>
          <w:szCs w:val="44"/>
        </w:rPr>
      </w:pPr>
      <w:r>
        <w:rPr>
          <w:rFonts w:hint="eastAsia" w:ascii="仿宋_GB2312" w:hAnsi="仿宋_GB2312" w:cs="仿宋"/>
          <w:b/>
          <w:bCs/>
          <w:color w:val="000000"/>
          <w:sz w:val="44"/>
          <w:szCs w:val="44"/>
        </w:rPr>
        <w:t>共青团重庆电</w:t>
      </w:r>
      <w:bookmarkStart w:id="0" w:name="_GoBack"/>
      <w:bookmarkEnd w:id="0"/>
      <w:r>
        <w:rPr>
          <w:rFonts w:hint="eastAsia" w:ascii="仿宋_GB2312" w:hAnsi="仿宋_GB2312" w:cs="仿宋"/>
          <w:b/>
          <w:bCs/>
          <w:color w:val="000000"/>
          <w:sz w:val="44"/>
          <w:szCs w:val="44"/>
        </w:rPr>
        <w:t>信职业学院委员会2015—2016学年第二学期</w:t>
      </w:r>
    </w:p>
    <w:p>
      <w:pPr>
        <w:pStyle w:val="4"/>
        <w:spacing w:line="320" w:lineRule="atLeast"/>
        <w:jc w:val="center"/>
        <w:rPr>
          <w:rFonts w:hint="eastAsia" w:ascii="仿宋_GB2312" w:hAnsi="仿宋_GB2312" w:cs="仿宋"/>
          <w:b/>
          <w:bCs/>
          <w:color w:val="000000"/>
          <w:sz w:val="44"/>
          <w:szCs w:val="44"/>
        </w:rPr>
      </w:pPr>
      <w:r>
        <w:rPr>
          <w:rFonts w:hint="eastAsia" w:ascii="仿宋_GB2312" w:hAnsi="仿宋_GB2312" w:cs="仿宋"/>
          <w:b/>
          <w:bCs/>
          <w:color w:val="000000"/>
          <w:sz w:val="44"/>
          <w:szCs w:val="44"/>
        </w:rPr>
        <w:t xml:space="preserve">     </w:t>
      </w:r>
      <w:r>
        <w:rPr>
          <w:rFonts w:hint="eastAsia" w:ascii="仿宋_GB2312" w:hAnsi="仿宋_GB2312" w:cs="仿宋"/>
          <w:b/>
          <w:bCs/>
          <w:color w:val="000000"/>
          <w:sz w:val="44"/>
          <w:szCs w:val="44"/>
          <w:lang w:eastAsia="zh-CN"/>
        </w:rPr>
        <w:t>第</w:t>
      </w:r>
      <w:r>
        <w:rPr>
          <w:rFonts w:hint="eastAsia" w:ascii="仿宋_GB2312" w:hAnsi="仿宋_GB2312" w:cs="仿宋"/>
          <w:b/>
          <w:bCs/>
          <w:color w:val="FF0000"/>
          <w:sz w:val="44"/>
          <w:szCs w:val="44"/>
          <w:lang w:eastAsia="zh-CN"/>
        </w:rPr>
        <w:t>四</w:t>
      </w:r>
      <w:r>
        <w:rPr>
          <w:rFonts w:hint="eastAsia" w:ascii="仿宋_GB2312" w:hAnsi="仿宋_GB2312" w:cs="仿宋"/>
          <w:b/>
          <w:bCs/>
          <w:color w:val="000000"/>
          <w:sz w:val="44"/>
          <w:szCs w:val="44"/>
          <w:lang w:eastAsia="zh-CN"/>
        </w:rPr>
        <w:t>周</w:t>
      </w:r>
      <w:r>
        <w:rPr>
          <w:rFonts w:hint="eastAsia" w:ascii="仿宋_GB2312" w:hAnsi="仿宋_GB2312" w:cs="仿宋"/>
          <w:b/>
          <w:bCs/>
          <w:color w:val="000000"/>
          <w:sz w:val="44"/>
          <w:szCs w:val="44"/>
        </w:rPr>
        <w:t>主要工作日程推进表</w:t>
      </w:r>
    </w:p>
    <w:tbl>
      <w:tblPr>
        <w:tblStyle w:val="3"/>
        <w:tblW w:w="13687" w:type="dxa"/>
        <w:jc w:val="center"/>
        <w:tblInd w:w="-3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5975"/>
        <w:gridCol w:w="1750"/>
        <w:gridCol w:w="1352"/>
        <w:gridCol w:w="2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2225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5975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活动内容</w:t>
            </w:r>
          </w:p>
        </w:tc>
        <w:tc>
          <w:tcPr>
            <w:tcW w:w="1750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完成时限</w:t>
            </w:r>
          </w:p>
        </w:tc>
        <w:tc>
          <w:tcPr>
            <w:tcW w:w="1352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负责人</w:t>
            </w:r>
          </w:p>
        </w:tc>
        <w:tc>
          <w:tcPr>
            <w:tcW w:w="2385" w:type="dxa"/>
            <w:shd w:val="clear" w:color="auto" w:fill="CCCCCC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</w:rPr>
              <w:t>协助部门(人)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restart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shd w:val="clear" w:color="auto" w:fill="auto"/>
                <w:lang w:val="en-US" w:eastAsia="zh-CN"/>
              </w:rPr>
              <w:t>2016年3月21日</w:t>
            </w: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zCs w:val="24"/>
                <w:shd w:val="clear" w:color="auto" w:fill="auto"/>
                <w:lang w:val="en-US" w:eastAsia="zh-CN"/>
              </w:rPr>
            </w:pPr>
          </w:p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4"/>
                <w:shd w:val="clear" w:color="auto" w:fill="auto"/>
                <w:lang w:val="en-US" w:eastAsia="zh-CN"/>
              </w:rPr>
              <w:t>——3月25日</w:t>
            </w:r>
          </w:p>
        </w:tc>
        <w:tc>
          <w:tcPr>
            <w:tcW w:w="5975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组织开展校园“十佳歌手”大赛</w:t>
            </w:r>
          </w:p>
        </w:tc>
        <w:tc>
          <w:tcPr>
            <w:tcW w:w="1750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3月31日前</w:t>
            </w:r>
          </w:p>
        </w:tc>
        <w:tc>
          <w:tcPr>
            <w:tcW w:w="1352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385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各二级学院团总支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两校区组织策划清明节纪念革命英烈活动</w:t>
            </w:r>
          </w:p>
        </w:tc>
        <w:tc>
          <w:tcPr>
            <w:tcW w:w="175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4月5日前</w:t>
            </w:r>
          </w:p>
        </w:tc>
        <w:tc>
          <w:tcPr>
            <w:tcW w:w="1352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杨山</w:t>
            </w:r>
          </w:p>
        </w:tc>
        <w:tc>
          <w:tcPr>
            <w:tcW w:w="238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学生会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进行思想理念教育活动</w:t>
            </w:r>
          </w:p>
        </w:tc>
        <w:tc>
          <w:tcPr>
            <w:tcW w:w="175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3月31日前</w:t>
            </w:r>
          </w:p>
        </w:tc>
        <w:tc>
          <w:tcPr>
            <w:tcW w:w="1352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杨山</w:t>
            </w:r>
          </w:p>
        </w:tc>
        <w:tc>
          <w:tcPr>
            <w:tcW w:w="238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各二级学院团总支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开展“创青春”大学生创业大赛校级选拔活动</w:t>
            </w:r>
          </w:p>
        </w:tc>
        <w:tc>
          <w:tcPr>
            <w:tcW w:w="1750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3月31日前</w:t>
            </w:r>
          </w:p>
        </w:tc>
        <w:tc>
          <w:tcPr>
            <w:tcW w:w="1352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杨山</w:t>
            </w:r>
          </w:p>
        </w:tc>
        <w:tc>
          <w:tcPr>
            <w:tcW w:w="2385" w:type="dxa"/>
            <w:shd w:val="clear" w:color="auto" w:fill="FFFFFF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各二级学院团总支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持续开展晚归、寝室安全检查工作</w:t>
            </w:r>
          </w:p>
        </w:tc>
        <w:tc>
          <w:tcPr>
            <w:tcW w:w="1750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3月25日前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38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1"/>
                <w:szCs w:val="21"/>
                <w:shd w:val="clear" w:color="auto" w:fill="auto"/>
                <w:lang w:eastAsia="zh-CN"/>
              </w:rPr>
              <w:t>各二级学院辅导员、校学生会、校治安服务队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持续开展早操、早晚自习检查工作</w:t>
            </w:r>
          </w:p>
        </w:tc>
        <w:tc>
          <w:tcPr>
            <w:tcW w:w="1750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3月25日前</w:t>
            </w:r>
          </w:p>
        </w:tc>
        <w:tc>
          <w:tcPr>
            <w:tcW w:w="1352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38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学生会、治安服务队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225" w:type="dxa"/>
            <w:vMerge w:val="continue"/>
            <w:shd w:val="clear" w:color="auto" w:fill="FFFFFF" w:themeFill="background1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完善学校官网共青团页面</w:t>
            </w:r>
          </w:p>
        </w:tc>
        <w:tc>
          <w:tcPr>
            <w:tcW w:w="1750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val="en-US" w:eastAsia="zh-CN"/>
              </w:rPr>
              <w:t>3月25日前</w:t>
            </w:r>
          </w:p>
        </w:tc>
        <w:tc>
          <w:tcPr>
            <w:tcW w:w="1352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杨山</w:t>
            </w:r>
          </w:p>
        </w:tc>
        <w:tc>
          <w:tcPr>
            <w:tcW w:w="2385" w:type="dxa"/>
            <w:shd w:val="clear" w:color="auto" w:fill="FFFFFF" w:themeFill="background1"/>
            <w:textDirection w:val="lrTb"/>
            <w:vAlign w:val="center"/>
          </w:tcPr>
          <w:p>
            <w:pPr>
              <w:spacing w:line="320" w:lineRule="atLeast"/>
              <w:jc w:val="center"/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hd w:val="clear" w:color="auto" w:fill="auto"/>
                <w:lang w:eastAsia="zh-CN"/>
              </w:rPr>
              <w:t>校团委</w:t>
            </w:r>
          </w:p>
        </w:tc>
      </w:tr>
    </w:tbl>
    <w:p>
      <w:pPr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decorative"/>
    <w:pitch w:val="default"/>
    <w:sig w:usb0="80001AFF" w:usb1="0000396B" w:usb2="00000000" w:usb3="00000000" w:csb0="200000BF" w:csb1="D7F7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roman"/>
    <w:pitch w:val="default"/>
    <w:sig w:usb0="80001AFF" w:usb1="0000396B" w:usb2="00000000" w:usb3="00000000" w:csb0="200000BF" w:csb1="D7F7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modern"/>
    <w:pitch w:val="default"/>
    <w:sig w:usb0="80001AFF" w:usb1="0000396B" w:usb2="00000000" w:usb3="00000000" w:csb0="200000BF" w:csb1="D7F7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93B23"/>
    <w:rsid w:val="5BA93B23"/>
    <w:rsid w:val="6D4E351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2016-03-23T02:20:00Z</dcterms:created>
  <dc:creator>Administrator</dc:creator>
  <cp:lastModifiedBy>Administrator</cp:lastModifiedBy>
  <dcterms:modified xsi:type="dcterms:W3CDTF">2016-03-29T00:26:23Z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